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E14" w:rsidRDefault="00801E1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01E14" w:rsidRDefault="00801E14">
      <w:pPr>
        <w:pStyle w:val="ConsPlusNormal"/>
        <w:jc w:val="both"/>
        <w:outlineLvl w:val="0"/>
      </w:pPr>
    </w:p>
    <w:p w:rsidR="00801E14" w:rsidRDefault="00801E14">
      <w:pPr>
        <w:pStyle w:val="ConsPlusNormal"/>
        <w:outlineLvl w:val="0"/>
      </w:pPr>
      <w:r>
        <w:t>Зарегистрировано в Минюсте России 20 августа 2020 г. N 59352</w:t>
      </w:r>
    </w:p>
    <w:p w:rsidR="00801E14" w:rsidRDefault="00801E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</w:pPr>
      <w:r>
        <w:t>МИНИСТЕРСТВО НАУКИ И ВЫСШЕГО ОБРАЗОВАНИЯ</w:t>
      </w:r>
    </w:p>
    <w:p w:rsidR="00801E14" w:rsidRDefault="00801E14">
      <w:pPr>
        <w:pStyle w:val="ConsPlusTitle"/>
        <w:jc w:val="center"/>
      </w:pPr>
      <w:r>
        <w:t>РОССИЙСКОЙ ФЕДЕРАЦИИ</w:t>
      </w:r>
    </w:p>
    <w:p w:rsidR="00801E14" w:rsidRDefault="00801E14">
      <w:pPr>
        <w:pStyle w:val="ConsPlusTitle"/>
        <w:jc w:val="center"/>
      </w:pPr>
    </w:p>
    <w:p w:rsidR="00801E14" w:rsidRDefault="00801E14">
      <w:pPr>
        <w:pStyle w:val="ConsPlusTitle"/>
        <w:jc w:val="center"/>
      </w:pPr>
      <w:r>
        <w:t>ПРИКАЗ</w:t>
      </w:r>
    </w:p>
    <w:p w:rsidR="00801E14" w:rsidRDefault="00801E14">
      <w:pPr>
        <w:pStyle w:val="ConsPlusTitle"/>
        <w:jc w:val="center"/>
      </w:pPr>
      <w:r>
        <w:t>от 7 августа 2020 г. N 911</w:t>
      </w:r>
    </w:p>
    <w:p w:rsidR="00801E14" w:rsidRDefault="00801E14">
      <w:pPr>
        <w:pStyle w:val="ConsPlusTitle"/>
        <w:jc w:val="center"/>
      </w:pPr>
    </w:p>
    <w:p w:rsidR="00801E14" w:rsidRDefault="00801E14">
      <w:pPr>
        <w:pStyle w:val="ConsPlusTitle"/>
        <w:jc w:val="center"/>
      </w:pPr>
      <w:r>
        <w:t>ОБ УТВЕРЖДЕНИИ</w:t>
      </w:r>
    </w:p>
    <w:p w:rsidR="00801E14" w:rsidRDefault="00801E1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01E14" w:rsidRDefault="00801E1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01E14" w:rsidRDefault="00801E14">
      <w:pPr>
        <w:pStyle w:val="ConsPlusTitle"/>
        <w:jc w:val="center"/>
      </w:pPr>
      <w:r>
        <w:t>23.03.01 ТЕХНОЛОГИЯ ТРАНСПОРТНЫХ ПРОЦЕССОВ</w:t>
      </w:r>
    </w:p>
    <w:p w:rsidR="00801E14" w:rsidRDefault="00801E1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801E1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4" w:rsidRDefault="00801E1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4" w:rsidRDefault="00801E1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1E14" w:rsidRDefault="00801E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1E14" w:rsidRDefault="00801E1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801E14" w:rsidRDefault="00801E1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4" w:rsidRDefault="00801E14">
            <w:pPr>
              <w:pStyle w:val="ConsPlusNormal"/>
            </w:pPr>
          </w:p>
        </w:tc>
      </w:tr>
    </w:tbl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23.03.01 Технология транспортных процессов (далее - стандарт).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</w:t>
      </w:r>
      <w:r>
        <w:lastRenderedPageBreak/>
        <w:t xml:space="preserve">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23.03.01 Технология транспортных процессов (уровень бакалавриата), утвержденным приказом Министерства образования и науки Российской Федерации от 6 марта 2015 г. N 165 (зарегистрирован Министерством юстиции Российской Федерации 27 марта 2015 г., регистрационный N 36616), прекращается 31 декабря 2020 года.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right"/>
      </w:pPr>
      <w:r>
        <w:t>Врио Министра</w:t>
      </w:r>
    </w:p>
    <w:p w:rsidR="00801E14" w:rsidRDefault="00801E14">
      <w:pPr>
        <w:pStyle w:val="ConsPlusNormal"/>
        <w:jc w:val="right"/>
      </w:pPr>
      <w:r>
        <w:t>А.В.НАРУКАВНИКОВ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right"/>
        <w:outlineLvl w:val="0"/>
      </w:pPr>
      <w:r>
        <w:t>Приложение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right"/>
      </w:pPr>
      <w:r>
        <w:t>Утвержден</w:t>
      </w:r>
    </w:p>
    <w:p w:rsidR="00801E14" w:rsidRDefault="00801E14">
      <w:pPr>
        <w:pStyle w:val="ConsPlusNormal"/>
        <w:jc w:val="right"/>
      </w:pPr>
      <w:r>
        <w:t>приказом Министерства науки</w:t>
      </w:r>
    </w:p>
    <w:p w:rsidR="00801E14" w:rsidRDefault="00801E14">
      <w:pPr>
        <w:pStyle w:val="ConsPlusNormal"/>
        <w:jc w:val="right"/>
      </w:pPr>
      <w:r>
        <w:t>и высшего образования</w:t>
      </w:r>
    </w:p>
    <w:p w:rsidR="00801E14" w:rsidRDefault="00801E14">
      <w:pPr>
        <w:pStyle w:val="ConsPlusNormal"/>
        <w:jc w:val="right"/>
      </w:pPr>
      <w:r>
        <w:t>Российской Федерации</w:t>
      </w:r>
    </w:p>
    <w:p w:rsidR="00801E14" w:rsidRDefault="00801E14">
      <w:pPr>
        <w:pStyle w:val="ConsPlusNormal"/>
        <w:jc w:val="right"/>
      </w:pPr>
      <w:r>
        <w:t>от 7 августа 2020 г. N 911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801E14" w:rsidRDefault="00801E1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01E14" w:rsidRDefault="00801E14">
      <w:pPr>
        <w:pStyle w:val="ConsPlusTitle"/>
        <w:jc w:val="center"/>
      </w:pPr>
      <w:r>
        <w:t>23.03.01 ТЕХНОЛОГИЯ ТРАНСПОРТНЫХ ПРОЦЕССОВ</w:t>
      </w:r>
    </w:p>
    <w:p w:rsidR="00801E14" w:rsidRDefault="00801E1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801E1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4" w:rsidRDefault="00801E1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4" w:rsidRDefault="00801E1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1E14" w:rsidRDefault="00801E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1E14" w:rsidRDefault="00801E1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801E14" w:rsidRDefault="00801E1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E14" w:rsidRDefault="00801E14">
            <w:pPr>
              <w:pStyle w:val="ConsPlusNormal"/>
            </w:pPr>
          </w:p>
        </w:tc>
      </w:tr>
    </w:tbl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  <w:outlineLvl w:val="1"/>
      </w:pPr>
      <w:r>
        <w:t>I. Общие положения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23.03.01 Технология транспортных процессов (далее соответственно - программа бакалавриата, направление подготовки).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lastRenderedPageBreak/>
        <w:t>1.3. Обучение по программе бакалавриата в Организации может осуществляться в очной, очно-заочной и заочной формах.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4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в очно-заочной или заочной формах обучения увеличивается не менее чем на 6 месяцев и не более чем на 1 год по сравнению со сроком получения </w:t>
      </w:r>
      <w:r>
        <w:lastRenderedPageBreak/>
        <w:t>образования в очной форме обучения;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01E14" w:rsidRDefault="00801E14">
      <w:pPr>
        <w:pStyle w:val="ConsPlusNormal"/>
        <w:spacing w:before="28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ВО: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801E14" w:rsidRDefault="00801E14">
      <w:pPr>
        <w:pStyle w:val="ConsPlusNormal"/>
        <w:spacing w:before="28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hyperlink r:id="rId16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</w:t>
      </w:r>
      <w:r>
        <w:lastRenderedPageBreak/>
        <w:t>дополнительного профессионального образования в области безопасности движения и организации перевозочного процесса, программ обучения и повышения квалификации водителей; научных исследований в области транспорта);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17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интеллектуальных транспортных систем; повышения качества работы транспортного комплекса и обеспечения перевозочного процесса);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18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управления проектами в области организации дорожного движения, интеллектуальных транспортных систем и обеспечения перевозочного процесса);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19">
        <w:r>
          <w:rPr>
            <w:color w:val="0000FF"/>
          </w:rPr>
          <w:t>13</w:t>
        </w:r>
      </w:hyperlink>
      <w:r>
        <w:t xml:space="preserve"> Сельское хозяйство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20">
        <w:r>
          <w:rPr>
            <w:color w:val="0000FF"/>
          </w:rPr>
          <w:t>14</w:t>
        </w:r>
      </w:hyperlink>
      <w:r>
        <w:t xml:space="preserve"> Лесное хозяйство, охота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2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территориально-транспортного планирования);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22">
        <w:r>
          <w:rPr>
            <w:color w:val="0000FF"/>
          </w:rPr>
          <w:t>17</w:t>
        </w:r>
      </w:hyperlink>
      <w:r>
        <w:t xml:space="preserve"> Транспорт (в сферах: организации дорожного движения; безопасности дорожного движения; интеллектуальных транспортных систем; организации перевозочного процесса; систем управления перевозками);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31</w:t>
        </w:r>
      </w:hyperlink>
      <w:r>
        <w:t xml:space="preserve"> Автомобилестроение (в сфере управления поставками при производстве транспортных средств и оборудования);</w:t>
      </w:r>
    </w:p>
    <w:p w:rsidR="00801E14" w:rsidRDefault="00801E14">
      <w:pPr>
        <w:pStyle w:val="ConsPlusNormal"/>
        <w:spacing w:before="280"/>
        <w:ind w:firstLine="540"/>
        <w:jc w:val="both"/>
      </w:pPr>
      <w:hyperlink r:id="rId24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управления поставками при производстве транспортных средств и оборудования).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01E14" w:rsidRDefault="00801E14">
      <w:pPr>
        <w:pStyle w:val="ConsPlusNormal"/>
        <w:spacing w:before="280"/>
        <w:ind w:firstLine="540"/>
        <w:jc w:val="both"/>
      </w:pPr>
      <w:bookmarkStart w:id="4" w:name="P8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lastRenderedPageBreak/>
        <w:t>производственно-технологический;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расчетно-проектный;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экспериментально-исследовательский;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организационно-управленческий.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801E14" w:rsidRDefault="00801E14">
      <w:pPr>
        <w:pStyle w:val="ConsPlusNormal"/>
        <w:spacing w:before="280"/>
        <w:ind w:firstLine="540"/>
        <w:jc w:val="both"/>
      </w:pPr>
      <w:hyperlink w:anchor="P107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01E14" w:rsidRDefault="00801E14">
      <w:pPr>
        <w:pStyle w:val="ConsPlusNormal"/>
        <w:spacing w:before="280"/>
        <w:ind w:firstLine="540"/>
        <w:jc w:val="both"/>
      </w:pPr>
      <w:hyperlink w:anchor="P110">
        <w:r>
          <w:rPr>
            <w:color w:val="0000FF"/>
          </w:rPr>
          <w:t>Блок 2</w:t>
        </w:r>
      </w:hyperlink>
      <w:r>
        <w:t xml:space="preserve"> "Практика";</w:t>
      </w:r>
    </w:p>
    <w:p w:rsidR="00801E14" w:rsidRDefault="00801E14">
      <w:pPr>
        <w:pStyle w:val="ConsPlusNormal"/>
        <w:spacing w:before="280"/>
        <w:ind w:firstLine="540"/>
        <w:jc w:val="both"/>
      </w:pPr>
      <w:hyperlink w:anchor="P113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center"/>
      </w:pPr>
      <w:r>
        <w:t>Структура и объем программы бакалавриата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right"/>
      </w:pPr>
      <w:r>
        <w:t>Таблица</w:t>
      </w:r>
    </w:p>
    <w:p w:rsidR="00801E14" w:rsidRDefault="00801E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54"/>
        <w:gridCol w:w="4365"/>
        <w:gridCol w:w="3231"/>
      </w:tblGrid>
      <w:tr w:rsidR="00801E14">
        <w:tc>
          <w:tcPr>
            <w:tcW w:w="5819" w:type="dxa"/>
            <w:gridSpan w:val="2"/>
          </w:tcPr>
          <w:p w:rsidR="00801E14" w:rsidRDefault="00801E1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231" w:type="dxa"/>
          </w:tcPr>
          <w:p w:rsidR="00801E14" w:rsidRDefault="00801E1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801E14">
        <w:tc>
          <w:tcPr>
            <w:tcW w:w="1454" w:type="dxa"/>
          </w:tcPr>
          <w:p w:rsidR="00801E14" w:rsidRDefault="00801E14">
            <w:pPr>
              <w:pStyle w:val="ConsPlusNormal"/>
              <w:jc w:val="center"/>
            </w:pPr>
            <w:bookmarkStart w:id="5" w:name="P107"/>
            <w:bookmarkEnd w:id="5"/>
            <w:r>
              <w:lastRenderedPageBreak/>
              <w:t>Блок 1</w:t>
            </w:r>
          </w:p>
        </w:tc>
        <w:tc>
          <w:tcPr>
            <w:tcW w:w="4365" w:type="dxa"/>
            <w:vAlign w:val="center"/>
          </w:tcPr>
          <w:p w:rsidR="00801E14" w:rsidRDefault="00801E1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231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801E14">
        <w:tc>
          <w:tcPr>
            <w:tcW w:w="1454" w:type="dxa"/>
          </w:tcPr>
          <w:p w:rsidR="00801E14" w:rsidRDefault="00801E14">
            <w:pPr>
              <w:pStyle w:val="ConsPlusNormal"/>
              <w:jc w:val="center"/>
            </w:pPr>
            <w:bookmarkStart w:id="6" w:name="P110"/>
            <w:bookmarkEnd w:id="6"/>
            <w:r>
              <w:t>Блок 2</w:t>
            </w:r>
          </w:p>
        </w:tc>
        <w:tc>
          <w:tcPr>
            <w:tcW w:w="4365" w:type="dxa"/>
            <w:vAlign w:val="center"/>
          </w:tcPr>
          <w:p w:rsidR="00801E14" w:rsidRDefault="00801E14">
            <w:pPr>
              <w:pStyle w:val="ConsPlusNormal"/>
            </w:pPr>
            <w:r>
              <w:t>Практика</w:t>
            </w:r>
          </w:p>
        </w:tc>
        <w:tc>
          <w:tcPr>
            <w:tcW w:w="3231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801E14">
        <w:tc>
          <w:tcPr>
            <w:tcW w:w="1454" w:type="dxa"/>
          </w:tcPr>
          <w:p w:rsidR="00801E14" w:rsidRDefault="00801E14">
            <w:pPr>
              <w:pStyle w:val="ConsPlusNormal"/>
              <w:jc w:val="center"/>
            </w:pPr>
            <w:bookmarkStart w:id="7" w:name="P113"/>
            <w:bookmarkEnd w:id="7"/>
            <w:r>
              <w:t>Блок 3</w:t>
            </w:r>
          </w:p>
        </w:tc>
        <w:tc>
          <w:tcPr>
            <w:tcW w:w="4365" w:type="dxa"/>
            <w:vAlign w:val="center"/>
          </w:tcPr>
          <w:p w:rsidR="00801E14" w:rsidRDefault="00801E1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231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801E14">
        <w:tc>
          <w:tcPr>
            <w:tcW w:w="5819" w:type="dxa"/>
            <w:gridSpan w:val="2"/>
            <w:vAlign w:val="center"/>
          </w:tcPr>
          <w:p w:rsidR="00801E14" w:rsidRDefault="00801E14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231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240</w:t>
            </w:r>
          </w:p>
        </w:tc>
      </w:tr>
    </w:tbl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bookmarkStart w:id="8" w:name="P119"/>
      <w:bookmarkEnd w:id="8"/>
      <w:r>
        <w:t>2.2. Программа бакалавриата в рамках Блока 1 "Дисциплины (модули)" должна обеспечивать: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801E14" w:rsidRDefault="00801E14">
      <w:pPr>
        <w:pStyle w:val="ConsPlusNormal"/>
        <w:jc w:val="both"/>
      </w:pPr>
      <w:r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01E14" w:rsidRDefault="00801E14">
      <w:pPr>
        <w:pStyle w:val="ConsPlusNormal"/>
        <w:spacing w:before="280"/>
        <w:ind w:firstLine="540"/>
        <w:jc w:val="both"/>
      </w:pPr>
      <w:bookmarkStart w:id="9" w:name="P127"/>
      <w:bookmarkEnd w:id="9"/>
      <w:r>
        <w:t xml:space="preserve">2.4. В </w:t>
      </w:r>
      <w:hyperlink w:anchor="P110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технологическая (производственно-технологическая) практика;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lastRenderedPageBreak/>
        <w:t>эксплуатационная практика;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технологическая (производственно-технологическая) практика;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27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2.6. Организация: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7">
        <w:r>
          <w:rPr>
            <w:color w:val="0000FF"/>
          </w:rPr>
          <w:t>пункте 2.4</w:t>
        </w:r>
      </w:hyperlink>
      <w:r>
        <w:t xml:space="preserve"> ФГОС ВО;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13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2.9. В рамках программы бакалавриата выделяются обязательная часть и </w:t>
      </w:r>
      <w:r>
        <w:lastRenderedPageBreak/>
        <w:t>часть, формируемая участниками образовательных отношений.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К обязательной части,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19">
        <w:r>
          <w:rPr>
            <w:color w:val="0000FF"/>
          </w:rPr>
          <w:t>абзаце первом пункта 2.2</w:t>
        </w:r>
      </w:hyperlink>
      <w:r>
        <w:t xml:space="preserve"> ФГОС ВО;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7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01E14" w:rsidRDefault="00801E14">
      <w:pPr>
        <w:pStyle w:val="ConsPlusTitle"/>
        <w:jc w:val="center"/>
      </w:pPr>
      <w:r>
        <w:t>программы бакалавриата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801E14" w:rsidRDefault="00801E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6633"/>
      </w:tblGrid>
      <w:tr w:rsidR="00801E14">
        <w:tc>
          <w:tcPr>
            <w:tcW w:w="2438" w:type="dxa"/>
          </w:tcPr>
          <w:p w:rsidR="00801E14" w:rsidRDefault="00801E1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801E14" w:rsidRDefault="00801E1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01E14">
        <w:tc>
          <w:tcPr>
            <w:tcW w:w="2438" w:type="dxa"/>
            <w:vMerge w:val="restart"/>
            <w:vAlign w:val="center"/>
          </w:tcPr>
          <w:p w:rsidR="00801E14" w:rsidRDefault="00801E1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01E14">
        <w:tc>
          <w:tcPr>
            <w:tcW w:w="2438" w:type="dxa"/>
            <w:vMerge/>
          </w:tcPr>
          <w:p w:rsidR="00801E14" w:rsidRDefault="00801E14">
            <w:pPr>
              <w:pStyle w:val="ConsPlusNormal"/>
            </w:pP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801E14">
        <w:tc>
          <w:tcPr>
            <w:tcW w:w="2438" w:type="dxa"/>
            <w:vAlign w:val="center"/>
          </w:tcPr>
          <w:p w:rsidR="00801E14" w:rsidRDefault="00801E1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801E14" w:rsidRDefault="00801E14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801E14">
        <w:tblPrEx>
          <w:tblBorders>
            <w:insideH w:val="nil"/>
          </w:tblBorders>
        </w:tblPrEx>
        <w:tc>
          <w:tcPr>
            <w:tcW w:w="2438" w:type="dxa"/>
            <w:tcBorders>
              <w:bottom w:val="nil"/>
            </w:tcBorders>
          </w:tcPr>
          <w:p w:rsidR="00801E14" w:rsidRDefault="00801E14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633" w:type="dxa"/>
            <w:tcBorders>
              <w:bottom w:val="nil"/>
            </w:tcBorders>
          </w:tcPr>
          <w:p w:rsidR="00801E14" w:rsidRDefault="00801E14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801E14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801E14" w:rsidRDefault="00801E14">
            <w:pPr>
              <w:pStyle w:val="ConsPlusNormal"/>
              <w:jc w:val="both"/>
            </w:pPr>
            <w:r>
              <w:t xml:space="preserve">(в ред. </w:t>
            </w:r>
            <w:hyperlink r:id="rId26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ОПК-1. Способен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ОПК-2. Способен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ОПК-3. Способен в сфере своей профессиональной деятельности проводить измерения и наблюдения, обрабатывать и представлять экспериментальные данные и результаты испытаний;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801E14" w:rsidRDefault="00801E14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ОПК-5. Способен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ОПК-6. Способен участвовать в разработке технической документации с использованием стандартов, норм и правил, связанных с профессиональной деятельностью.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</w:t>
      </w:r>
      <w:r>
        <w:lastRenderedPageBreak/>
        <w:t>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8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&lt;3&gt; </w:t>
      </w:r>
      <w:hyperlink r:id="rId2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&lt;4&gt; </w:t>
      </w:r>
      <w:hyperlink r:id="rId3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</w:t>
      </w:r>
      <w:r>
        <w:lastRenderedPageBreak/>
        <w:t xml:space="preserve">профессиональной деятельности не менее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7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3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lastRenderedPageBreak/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&lt;5&gt;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ind w:firstLine="540"/>
        <w:jc w:val="both"/>
        <w:outlineLvl w:val="2"/>
      </w:pPr>
      <w:r>
        <w:lastRenderedPageBreak/>
        <w:t>4.3. Требования к материально-техническому и учебно-методическому обеспечению программы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lastRenderedPageBreak/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 xml:space="preserve">&lt;6&gt; </w:t>
      </w:r>
      <w:hyperlink r:id="rId3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</w:t>
      </w:r>
      <w:r>
        <w:lastRenderedPageBreak/>
        <w:t>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801E14" w:rsidRDefault="00801E14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right"/>
        <w:outlineLvl w:val="1"/>
      </w:pPr>
      <w:r>
        <w:t>Приложение</w:t>
      </w:r>
    </w:p>
    <w:p w:rsidR="00801E14" w:rsidRDefault="00801E14">
      <w:pPr>
        <w:pStyle w:val="ConsPlusNormal"/>
        <w:jc w:val="right"/>
      </w:pPr>
      <w:r>
        <w:t>к федеральному государственному</w:t>
      </w:r>
    </w:p>
    <w:p w:rsidR="00801E14" w:rsidRDefault="00801E14">
      <w:pPr>
        <w:pStyle w:val="ConsPlusNormal"/>
        <w:jc w:val="right"/>
      </w:pPr>
      <w:r>
        <w:t>образовательному стандарту</w:t>
      </w:r>
    </w:p>
    <w:p w:rsidR="00801E14" w:rsidRDefault="00801E14">
      <w:pPr>
        <w:pStyle w:val="ConsPlusNormal"/>
        <w:jc w:val="right"/>
      </w:pPr>
      <w:r>
        <w:t>высшего образования - бакалавриат</w:t>
      </w:r>
    </w:p>
    <w:p w:rsidR="00801E14" w:rsidRDefault="00801E14">
      <w:pPr>
        <w:pStyle w:val="ConsPlusNormal"/>
        <w:jc w:val="right"/>
      </w:pPr>
      <w:r>
        <w:t>по направлению подготовки 23.03.01</w:t>
      </w:r>
    </w:p>
    <w:p w:rsidR="00801E14" w:rsidRDefault="00801E14">
      <w:pPr>
        <w:pStyle w:val="ConsPlusNormal"/>
        <w:jc w:val="right"/>
      </w:pPr>
      <w:r>
        <w:t>Технология транспортных процессов,</w:t>
      </w:r>
    </w:p>
    <w:p w:rsidR="00801E14" w:rsidRDefault="00801E14">
      <w:pPr>
        <w:pStyle w:val="ConsPlusNormal"/>
        <w:jc w:val="right"/>
      </w:pPr>
      <w:r>
        <w:t>утвержденному приказом Министерства</w:t>
      </w:r>
    </w:p>
    <w:p w:rsidR="00801E14" w:rsidRDefault="00801E14">
      <w:pPr>
        <w:pStyle w:val="ConsPlusNormal"/>
        <w:jc w:val="right"/>
      </w:pPr>
      <w:r>
        <w:t>науки и высшего образования</w:t>
      </w:r>
    </w:p>
    <w:p w:rsidR="00801E14" w:rsidRDefault="00801E14">
      <w:pPr>
        <w:pStyle w:val="ConsPlusNormal"/>
        <w:jc w:val="right"/>
      </w:pPr>
      <w:r>
        <w:t>Российской Федерации</w:t>
      </w:r>
    </w:p>
    <w:p w:rsidR="00801E14" w:rsidRDefault="00801E14">
      <w:pPr>
        <w:pStyle w:val="ConsPlusNormal"/>
        <w:jc w:val="right"/>
      </w:pPr>
      <w:r>
        <w:t>от 7 августа 2020 г. N 911</w:t>
      </w: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Title"/>
        <w:jc w:val="center"/>
      </w:pPr>
      <w:bookmarkStart w:id="10" w:name="P274"/>
      <w:bookmarkEnd w:id="10"/>
      <w:r>
        <w:t>ПЕРЕЧЕНЬ</w:t>
      </w:r>
    </w:p>
    <w:p w:rsidR="00801E14" w:rsidRDefault="00801E14">
      <w:pPr>
        <w:pStyle w:val="ConsPlusTitle"/>
        <w:jc w:val="center"/>
      </w:pPr>
      <w:r>
        <w:t>ПРОФЕССИОНАЛЬНЫХ СТАНДАРТОВ, СООТВЕТСТВУЮЩИХ</w:t>
      </w:r>
    </w:p>
    <w:p w:rsidR="00801E14" w:rsidRDefault="00801E1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01E14" w:rsidRDefault="00801E14">
      <w:pPr>
        <w:pStyle w:val="ConsPlusTitle"/>
        <w:jc w:val="center"/>
      </w:pPr>
      <w:r>
        <w:t>ПРОГРАММУ БАКАЛАВРИАТА ПО НАПРАВЛЕНИЮ ПОДГОТОВКИ 23.03.01</w:t>
      </w:r>
    </w:p>
    <w:p w:rsidR="00801E14" w:rsidRDefault="00801E14">
      <w:pPr>
        <w:pStyle w:val="ConsPlusTitle"/>
        <w:jc w:val="center"/>
      </w:pPr>
      <w:r>
        <w:t>ТЕХНОЛОГИЯ ТРАНСПОРТНЫХ ПРОЦЕССОВ</w:t>
      </w:r>
    </w:p>
    <w:p w:rsidR="00801E14" w:rsidRDefault="00801E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1417"/>
        <w:gridCol w:w="6917"/>
      </w:tblGrid>
      <w:tr w:rsidR="00801E14">
        <w:tc>
          <w:tcPr>
            <w:tcW w:w="737" w:type="dxa"/>
          </w:tcPr>
          <w:p w:rsidR="00801E14" w:rsidRDefault="00801E1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17" w:type="dxa"/>
          </w:tcPr>
          <w:p w:rsidR="00801E14" w:rsidRDefault="00801E1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17" w:type="dxa"/>
          </w:tcPr>
          <w:p w:rsidR="00801E14" w:rsidRDefault="00801E1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01E14">
        <w:tc>
          <w:tcPr>
            <w:tcW w:w="9071" w:type="dxa"/>
            <w:gridSpan w:val="3"/>
          </w:tcPr>
          <w:p w:rsidR="00801E14" w:rsidRDefault="00801E14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</w:t>
            </w:r>
            <w:r>
              <w:lastRenderedPageBreak/>
              <w:t>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01E14">
        <w:tc>
          <w:tcPr>
            <w:tcW w:w="9071" w:type="dxa"/>
            <w:gridSpan w:val="3"/>
          </w:tcPr>
          <w:p w:rsidR="00801E14" w:rsidRDefault="00801E14">
            <w:pPr>
              <w:pStyle w:val="ConsPlusNormal"/>
              <w:jc w:val="center"/>
              <w:outlineLvl w:val="2"/>
            </w:pPr>
            <w:hyperlink r:id="rId38">
              <w:r>
                <w:rPr>
                  <w:color w:val="0000FF"/>
                </w:rPr>
                <w:t>07</w:t>
              </w:r>
            </w:hyperlink>
            <w:r>
              <w:t xml:space="preserve"> Административно-управленческая и офисная деятельность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801E14">
        <w:tc>
          <w:tcPr>
            <w:tcW w:w="9071" w:type="dxa"/>
            <w:gridSpan w:val="3"/>
          </w:tcPr>
          <w:p w:rsidR="00801E14" w:rsidRDefault="00801E14">
            <w:pPr>
              <w:pStyle w:val="ConsPlusNormal"/>
              <w:jc w:val="center"/>
              <w:outlineLvl w:val="2"/>
            </w:pPr>
            <w:hyperlink r:id="rId40">
              <w:r>
                <w:rPr>
                  <w:color w:val="0000FF"/>
                </w:rPr>
                <w:t>16</w:t>
              </w:r>
            </w:hyperlink>
            <w:r>
              <w:t xml:space="preserve"> Строительство и жилищно-коммунальное хозяйство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16.043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"Дорожный рабочий", утвержденный приказом Министерства труда и социальной защиты Российской Федерации от 22 декабря 2014 г. N 1078н (зарегистрирован Министерством юстиции Российской Федерации 22 января 2015 г., регистрационный N 35645)</w:t>
            </w:r>
          </w:p>
        </w:tc>
      </w:tr>
      <w:tr w:rsidR="00801E14">
        <w:tc>
          <w:tcPr>
            <w:tcW w:w="9071" w:type="dxa"/>
            <w:gridSpan w:val="3"/>
          </w:tcPr>
          <w:p w:rsidR="00801E14" w:rsidRDefault="00801E14">
            <w:pPr>
              <w:pStyle w:val="ConsPlusNormal"/>
              <w:jc w:val="center"/>
              <w:outlineLvl w:val="2"/>
            </w:pPr>
            <w:hyperlink r:id="rId42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801E14">
        <w:tc>
          <w:tcPr>
            <w:tcW w:w="9071" w:type="dxa"/>
            <w:gridSpan w:val="3"/>
          </w:tcPr>
          <w:p w:rsidR="00801E14" w:rsidRDefault="00801E14">
            <w:pPr>
              <w:pStyle w:val="ConsPlusNormal"/>
              <w:jc w:val="center"/>
              <w:outlineLvl w:val="2"/>
            </w:pPr>
            <w:hyperlink r:id="rId44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r>
              <w:lastRenderedPageBreak/>
              <w:t>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01E14">
        <w:tc>
          <w:tcPr>
            <w:tcW w:w="73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417" w:type="dxa"/>
            <w:vAlign w:val="center"/>
          </w:tcPr>
          <w:p w:rsidR="00801E14" w:rsidRDefault="00801E14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917" w:type="dxa"/>
            <w:vAlign w:val="center"/>
          </w:tcPr>
          <w:p w:rsidR="00801E14" w:rsidRDefault="00801E1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</w:tbl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jc w:val="both"/>
      </w:pPr>
    </w:p>
    <w:p w:rsidR="00801E14" w:rsidRDefault="00801E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254A0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14"/>
    <w:rsid w:val="001825E0"/>
    <w:rsid w:val="006C0B77"/>
    <w:rsid w:val="00801E14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02F64-70BD-4466-A913-B265AC36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801E1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801E1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801E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79828&amp;dst=100059" TargetMode="External"/><Relationship Id="rId13" Type="http://schemas.openxmlformats.org/officeDocument/2006/relationships/hyperlink" Target="https://login.consultant.ru/link/?req=doc&amp;base=RZR&amp;n=443783&amp;dst=101344" TargetMode="External"/><Relationship Id="rId18" Type="http://schemas.openxmlformats.org/officeDocument/2006/relationships/hyperlink" Target="https://login.consultant.ru/link/?req=doc&amp;base=RZR&amp;n=214720&amp;dst=100062" TargetMode="External"/><Relationship Id="rId26" Type="http://schemas.openxmlformats.org/officeDocument/2006/relationships/hyperlink" Target="https://login.consultant.ru/link/?req=doc&amp;base=RZR&amp;n=443783&amp;dst=101344" TargetMode="External"/><Relationship Id="rId39" Type="http://schemas.openxmlformats.org/officeDocument/2006/relationships/hyperlink" Target="https://login.consultant.ru/link/?req=doc&amp;base=RZR&amp;n=187770&amp;dst=10000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R&amp;n=214720&amp;dst=100080" TargetMode="External"/><Relationship Id="rId34" Type="http://schemas.openxmlformats.org/officeDocument/2006/relationships/hyperlink" Target="https://login.consultant.ru/link/?req=doc&amp;base=RZR&amp;n=214720&amp;dst=100060" TargetMode="External"/><Relationship Id="rId42" Type="http://schemas.openxmlformats.org/officeDocument/2006/relationships/hyperlink" Target="https://login.consultant.ru/link/?req=doc&amp;base=RZR&amp;n=214720&amp;dst=10011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ZR&amp;n=443783&amp;dst=101344" TargetMode="External"/><Relationship Id="rId12" Type="http://schemas.openxmlformats.org/officeDocument/2006/relationships/hyperlink" Target="https://login.consultant.ru/link/?req=doc&amp;base=RZR&amp;n=428382&amp;dst=100613" TargetMode="External"/><Relationship Id="rId17" Type="http://schemas.openxmlformats.org/officeDocument/2006/relationships/hyperlink" Target="https://login.consultant.ru/link/?req=doc&amp;base=RZR&amp;n=214720&amp;dst=100060" TargetMode="External"/><Relationship Id="rId25" Type="http://schemas.openxmlformats.org/officeDocument/2006/relationships/hyperlink" Target="https://login.consultant.ru/link/?req=doc&amp;base=RZR&amp;n=428382&amp;dst=100613" TargetMode="External"/><Relationship Id="rId33" Type="http://schemas.openxmlformats.org/officeDocument/2006/relationships/hyperlink" Target="https://login.consultant.ru/link/?req=doc&amp;base=RZR&amp;n=484318&amp;dst=100947" TargetMode="External"/><Relationship Id="rId38" Type="http://schemas.openxmlformats.org/officeDocument/2006/relationships/hyperlink" Target="https://login.consultant.ru/link/?req=doc&amp;base=RZR&amp;n=214720&amp;dst=100062" TargetMode="External"/><Relationship Id="rId46" Type="http://schemas.openxmlformats.org/officeDocument/2006/relationships/hyperlink" Target="https://login.consultant.ru/link/?req=doc&amp;base=RZR&amp;n=211640&amp;dst=1000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214720&amp;dst=100050" TargetMode="External"/><Relationship Id="rId20" Type="http://schemas.openxmlformats.org/officeDocument/2006/relationships/hyperlink" Target="https://login.consultant.ru/link/?req=doc&amp;base=RZR&amp;n=214720&amp;dst=100076" TargetMode="External"/><Relationship Id="rId29" Type="http://schemas.openxmlformats.org/officeDocument/2006/relationships/hyperlink" Target="https://login.consultant.ru/link/?req=doc&amp;base=RZR&amp;n=214720&amp;dst=100006" TargetMode="External"/><Relationship Id="rId41" Type="http://schemas.openxmlformats.org/officeDocument/2006/relationships/hyperlink" Target="https://login.consultant.ru/link/?req=doc&amp;base=RZR&amp;n=174801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428382&amp;dst=100613" TargetMode="External"/><Relationship Id="rId11" Type="http://schemas.openxmlformats.org/officeDocument/2006/relationships/hyperlink" Target="https://login.consultant.ru/link/?req=doc&amp;base=RZR&amp;n=385079&amp;dst=103309" TargetMode="External"/><Relationship Id="rId24" Type="http://schemas.openxmlformats.org/officeDocument/2006/relationships/hyperlink" Target="https://login.consultant.ru/link/?req=doc&amp;base=RZR&amp;n=214720&amp;dst=100116" TargetMode="External"/><Relationship Id="rId32" Type="http://schemas.openxmlformats.org/officeDocument/2006/relationships/hyperlink" Target="https://login.consultant.ru/link/?req=doc&amp;base=RZR&amp;n=482686" TargetMode="External"/><Relationship Id="rId37" Type="http://schemas.openxmlformats.org/officeDocument/2006/relationships/hyperlink" Target="https://login.consultant.ru/link/?req=doc&amp;base=RZR&amp;n=211645&amp;dst=100009" TargetMode="External"/><Relationship Id="rId40" Type="http://schemas.openxmlformats.org/officeDocument/2006/relationships/hyperlink" Target="https://login.consultant.ru/link/?req=doc&amp;base=RZR&amp;n=214720&amp;dst=100080" TargetMode="External"/><Relationship Id="rId45" Type="http://schemas.openxmlformats.org/officeDocument/2006/relationships/hyperlink" Target="https://login.consultant.ru/link/?req=doc&amp;base=RZR&amp;n=211658&amp;dst=100009" TargetMode="External"/><Relationship Id="rId5" Type="http://schemas.openxmlformats.org/officeDocument/2006/relationships/hyperlink" Target="https://login.consultant.ru/link/?req=doc&amp;base=RZR&amp;n=385079&amp;dst=103309" TargetMode="External"/><Relationship Id="rId15" Type="http://schemas.openxmlformats.org/officeDocument/2006/relationships/hyperlink" Target="https://login.consultant.ru/link/?req=doc&amp;base=RZR&amp;n=214720&amp;dst=100047" TargetMode="External"/><Relationship Id="rId23" Type="http://schemas.openxmlformats.org/officeDocument/2006/relationships/hyperlink" Target="https://login.consultant.ru/link/?req=doc&amp;base=RZR&amp;n=214720&amp;dst=100110" TargetMode="External"/><Relationship Id="rId28" Type="http://schemas.openxmlformats.org/officeDocument/2006/relationships/hyperlink" Target="http://profstandart.rosmintrud.ru" TargetMode="External"/><Relationship Id="rId36" Type="http://schemas.openxmlformats.org/officeDocument/2006/relationships/hyperlink" Target="https://login.consultant.ru/link/?req=doc&amp;base=RZR&amp;n=211623&amp;dst=100009" TargetMode="External"/><Relationship Id="rId10" Type="http://schemas.openxmlformats.org/officeDocument/2006/relationships/hyperlink" Target="https://login.consultant.ru/link/?req=doc&amp;base=RZR&amp;n=177480&amp;dst=100014" TargetMode="External"/><Relationship Id="rId19" Type="http://schemas.openxmlformats.org/officeDocument/2006/relationships/hyperlink" Target="https://login.consultant.ru/link/?req=doc&amp;base=RZR&amp;n=214720&amp;dst=100074" TargetMode="External"/><Relationship Id="rId31" Type="http://schemas.openxmlformats.org/officeDocument/2006/relationships/hyperlink" Target="https://login.consultant.ru/link/?req=doc&amp;base=RZR&amp;n=479354" TargetMode="External"/><Relationship Id="rId44" Type="http://schemas.openxmlformats.org/officeDocument/2006/relationships/hyperlink" Target="https://login.consultant.ru/link/?req=doc&amp;base=RZR&amp;n=214720&amp;dst=10011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481262&amp;dst=100072" TargetMode="External"/><Relationship Id="rId14" Type="http://schemas.openxmlformats.org/officeDocument/2006/relationships/hyperlink" Target="https://login.consultant.ru/link/?req=doc&amp;base=RZR&amp;n=470336&amp;dst=100249" TargetMode="External"/><Relationship Id="rId22" Type="http://schemas.openxmlformats.org/officeDocument/2006/relationships/hyperlink" Target="https://login.consultant.ru/link/?req=doc&amp;base=RZR&amp;n=214720&amp;dst=100082" TargetMode="External"/><Relationship Id="rId27" Type="http://schemas.openxmlformats.org/officeDocument/2006/relationships/hyperlink" Target="https://login.consultant.ru/link/?req=doc&amp;base=RZR&amp;n=385079&amp;dst=103309" TargetMode="External"/><Relationship Id="rId30" Type="http://schemas.openxmlformats.org/officeDocument/2006/relationships/hyperlink" Target="https://login.consultant.ru/link/?req=doc&amp;base=RZR&amp;n=146970" TargetMode="External"/><Relationship Id="rId35" Type="http://schemas.openxmlformats.org/officeDocument/2006/relationships/hyperlink" Target="https://login.consultant.ru/link/?req=doc&amp;base=RZR&amp;n=211494&amp;dst=100009" TargetMode="External"/><Relationship Id="rId43" Type="http://schemas.openxmlformats.org/officeDocument/2006/relationships/hyperlink" Target="https://login.consultant.ru/link/?req=doc&amp;base=RZR&amp;n=118488&amp;dst=100009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6050</Words>
  <Characters>34487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2024-12-20T04:29:00Z</dcterms:created>
  <dcterms:modified xsi:type="dcterms:W3CDTF">2024-12-20T04:30:00Z</dcterms:modified>
</cp:coreProperties>
</file>